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</w:rPr>
        <w:drawing>
          <wp:inline distB="114300" distT="114300" distL="114300" distR="114300">
            <wp:extent cx="2011200" cy="686953"/>
            <wp:effectExtent b="0" l="0" r="0" t="0"/>
            <wp:docPr id="10737418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200" cy="6869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COMUNICATO STAMPA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TRANSIZIONE ECOLOGICA E DIGITALE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E se un’app potesse rivoluzionare il rapporto tra cittadini e pubblica amministrazione? </w:t>
      </w:r>
    </w:p>
    <w:p w:rsidR="00000000" w:rsidDel="00000000" w:rsidP="00000000" w:rsidRDefault="00000000" w:rsidRPr="00000000" w14:paraId="00000008">
      <w:pPr>
        <w:jc w:val="center"/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Si chiama Junker e, dopo 11 anni, è più nuova che 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11 novembre 2025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Per realizzare le due innovazioni gemelle della transizione ecologica e digitale, informare (bene) i cittadini è fondamentale. Ma non sufficiente. L’ha sperimentato sul campo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un’app,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Junker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, che, dopo aver inventato e diffuso su tutto il territorio nazionale un modello di comunicazione geolocalizzata sulla raccolta differenziata, ha intuito che fosse necessario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fare di più.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Undici anni dopo il lancio,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con più di 3500 Comuni abbonati e 30 milioni di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italiani serviti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Junker si presenta dunque con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una nuova versione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, che segna il passaggio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da app informativa 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strumento abilitante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per consentire agli utenti di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accedere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modo veloce, semplice e inclusivo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tutti i servizi ambientali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del proprio territorio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da quelli legati alla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gestione dei rifiuti urbani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a quelli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settore idrico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GLI ITALIANI SONO PRONTI A USARE SERVIZI PUBBLICI DIGITALI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 questo modo, grazie a un’unica app integrata, diventa possibile avere a portata di mano il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calendario sempre aggiornato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della raccolta, consultare le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mappe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di tutti i punti di conferimento, verificare la posizione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Tari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 i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consumi idrici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prenotare il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ritiro a domicilio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dai pannolini agli ingombranti, sbloccare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l’accesso ai bidoni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collegati alla propria utenza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confermare al Comune lo stato di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attività della compostiera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inviare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foto-segnalazioni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 degrado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urbano o disservizio, trovare favolosi oggetti second hand tramite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Bacheca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virtuale, collegata al centro del riuso, e molto altro ancora.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 base ai dati della Commissione Europea, nel 2024, il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70%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dei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cittadini dell’UE ha utilizzato servizi pubblici online tramite siti web o app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In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Italia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la percentuale di utenti che hanno utilizzato servizi pubblici digitali è stata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55%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Nonostante questo ritardo, l’esperienza di Junker app – con i suoi quasi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4 milioni di utenti e 83 milioni di ricerche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– dimostra che gli italiani non solo sono disposti, ma sono anche pronti per essere coinvolti attivamente nella transizione digitale dei servizi pubblici</w:t>
      </w: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LA COLLABORAZIONE SI ESTENDE ANCHE</w:t>
      </w: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 AL SERVIZIO IDRICO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La nuova versione di Junker si propone così di potenziare i risultati ottenuti nel settore del waste, </w:t>
      </w:r>
      <w:r w:rsidDel="00000000" w:rsidR="00000000" w:rsidRPr="00000000">
        <w:rPr>
          <w:rFonts w:ascii="Arial" w:cs="Arial" w:eastAsia="Arial" w:hAnsi="Arial"/>
          <w:b w:val="1"/>
          <w:bCs w:val="1"/>
          <w:color w:val="1d1b1e"/>
          <w:sz w:val="26"/>
          <w:szCs w:val="26"/>
          <w:rtl w:val="0"/>
        </w:rPr>
        <w:t xml:space="preserve">estendendoli anche alla gestione di un bene pubblico prezioso come l’acqua</w:t>
      </w: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A manifestare questa esigenza sono stati gli stessi utenti dell’app, che, rispondendo a un sondaggio diffuso a fine 2024, hanno per </w:t>
      </w:r>
      <w:r w:rsidDel="00000000" w:rsidR="00000000" w:rsidRPr="00000000">
        <w:rPr>
          <w:rFonts w:ascii="Arial" w:cs="Arial" w:eastAsia="Arial" w:hAnsi="Arial"/>
          <w:b w:val="1"/>
          <w:bCs w:val="1"/>
          <w:color w:val="1d1b1e"/>
          <w:sz w:val="26"/>
          <w:szCs w:val="26"/>
          <w:rtl w:val="0"/>
        </w:rPr>
        <w:t xml:space="preserve">l’82% dichiarato il proprio interesse a ricevere su Junker anche informazioni, servizi e consigli sull'uso consapevole dell'acqua</w:t>
      </w:r>
      <w:r w:rsidDel="00000000" w:rsidR="00000000" w:rsidRPr="00000000">
        <w:rPr>
          <w:rFonts w:ascii="Arial" w:cs="Arial" w:eastAsia="Arial" w:hAnsi="Arial"/>
          <w:color w:val="1d1b1e"/>
          <w:sz w:val="26"/>
          <w:szCs w:val="26"/>
          <w:rtl w:val="0"/>
        </w:rPr>
        <w:t xml:space="preserve">. In app è stata dunque aggiunta una sezione dedicata al servizio idrico, grazie alla quale i cittadini possono adesso monitorare consumi e bollette, inviare auto-letture e segnalazioni, ma anche scoprire buone pratiche e consigli anti-spreco.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color w:val="1d1b1e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“L’Italia non è più quella di 11 anni fa” – spiega il direttore commerciale e marketing di Giunko, Gianluca Della Campa. “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 dati ufficiali raccontano di un Paese che è passato dal 45% di raccolta differenziata a oltre il 66%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Su scala locale, ci sono non solo Comuni, ma intere province che superano ormai l’80%. Ci troviamo di fronte a un’utenza più matura e sensibilizzata, di cui Junker, come sempre, anticipa i bisogni, diventando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la prima app completa e multilingue per i clienti del servizio di igiene urbana e idrico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integrabile in qualsiasi software gestionale”.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TUTTI I SERVIZI AMBIENTALI A PORTATA DI SMARTPHONE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Junker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sempre scaricabile gratuitamente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su tutti gli smartphone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gli utenti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continu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eranno ovviamente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a trovare 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informazioni geolocalizzate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per differenziare correttamente ogni tipologia di rifiuto e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oltre 2 milioni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di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imballaggi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, in base alle regole del Comune in cui si trovano. Le quattro modalità di ricerca (per codice a barre, testuale, per riconoscimento immagine e per simboli dei materiali) sono anzi ancora più in evidenza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nella home dell’app, che è stata disegnata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ispirandosi ai Bento giapponesi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“Così come avviene con i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celebri contenitori porta-pranzo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Bento – spiega Benedetta De Santis, co-fondatrice e CEO di Giunko –, nella nuova Junker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ogni utente ha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la libertà di organizzare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 servizi disponibili in app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in base alle proprie esigenze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al territorio in cui si trova e persino al periodo dell’anno”. Dall’elenco di servizi offerti dal Comune e/o dal Gestore di igiene ambientale, il cittadino può infatti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selezionare i propri preferit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da portare in evidenza in home all’interno di “contenitori” (widget) dedicati.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 CANALE DIRETTO COI CITTADINI, CHE SEMPLIFICA IL LAVORO DEI COMUNI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444746"/>
          <w:sz w:val="26"/>
          <w:szCs w:val="26"/>
          <w:rtl w:val="0"/>
        </w:rPr>
        <w:t xml:space="preserve">La nuova identità visiva riflette un’evoluzione così profonda da trasformare la mission dell’app.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Nata come “tutor” smart per accompagnare gli italiani verso una raccolta differenziata più spinta e accurata, Junker è diventata negli anni uno strumento per promuovere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l’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empowerment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dei cittadini in tema di circolarità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facilitare le loro interazioni con il Comune o l’azienda di gestione ambientale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Questo aspetto è stato ulteriormente potenziato nella nuova app, prestando grande attenzione all’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usabilità da parte degli utenti, compresi quelli con ridotte capacità visive, non nativi digitali o stranieri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“Questa nuova versione di Junker – sottolinea la responsabile comunicazione, Noemi De Santis – consegna agli utenti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un’app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non solo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più potente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ma anche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più vicina ai loro bisogni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più inclusiva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. Per essere davvero alla portata di tutte le fasce di popolazione,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gli sviluppatori si sono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allineati alla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certificazione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ISO 27001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e alle best practice europee in materia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accessibilità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, lavorando sul contrasto dei colori e sulla grandezza dei caratteri. Tutti i contenuti dell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’app restano inoltre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fruibili in 13 lingue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“In Italia – aggiunge De Santis – ci sono circa 5,4 milioni di</w:t>
      </w: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highlight w:val="white"/>
          <w:rtl w:val="0"/>
        </w:rPr>
        <w:t xml:space="preserve"> cittadini stranieri che hanno fissato qui la propria residenza e partecipano ogni giorno alla raccolta differenziata. Il multilinguismo dell’app è una scelta che consente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a tutte le comunità che vivono e lavorano in Italia, così come ai turisti che vengono a visitarla, di sentirsi pienamente coinvolti nella tutela dei luoghi”.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59686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59686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596869"/>
          <w:sz w:val="26"/>
          <w:szCs w:val="26"/>
          <w:rtl w:val="0"/>
        </w:rPr>
        <w:t xml:space="preserve">***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59686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 maggiori info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Arial" w:cs="Arial" w:eastAsia="Arial" w:hAnsi="Arial"/>
          <w:color w:val="37434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74344"/>
          <w:sz w:val="20"/>
          <w:szCs w:val="20"/>
          <w:rtl w:val="0"/>
        </w:rPr>
        <w:t xml:space="preserve">visita il sito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 www.junkerapp.it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scrivi a</w:t>
      </w:r>
      <w:r w:rsidDel="00000000" w:rsidR="00000000" w:rsidRPr="00000000">
        <w:rPr>
          <w:rFonts w:ascii="Arial" w:cs="Arial" w:eastAsia="Arial" w:hAnsi="Arial"/>
          <w:color w:val="374344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ufficiostampa@junkerapp.it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76" w:lineRule="auto"/>
        <w:jc w:val="both"/>
        <w:rPr>
          <w:rFonts w:ascii="Arial" w:cs="Arial" w:eastAsia="Arial" w:hAnsi="Arial"/>
          <w:color w:val="3743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59686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596869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Bricolage Grotesque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ufficiostampa@junkerapp.i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unkerapp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junkerapp.it/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BricolageGrotesque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HelveticaNeue-regular.ttf"/><Relationship Id="rId14" Type="http://schemas.openxmlformats.org/officeDocument/2006/relationships/font" Target="fonts/BricolageGrotesque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LhWaHwh13T5S9jstE0oyBY1cQ==">CgMxLjA4AHIhMXNsbnY0UFhvd3M4YUQyajQtUV9CTEpXRU9JRjdReDZx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